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683A5" w14:textId="6399C31D" w:rsidR="00225FE5" w:rsidRPr="00D66DA4" w:rsidRDefault="00225FE5" w:rsidP="00225FE5">
      <w:pPr>
        <w:pStyle w:val="Header"/>
        <w:jc w:val="center"/>
        <w:rPr>
          <w:color w:val="000000" w:themeColor="text1"/>
          <w:sz w:val="40"/>
          <w:szCs w:val="40"/>
        </w:rPr>
      </w:pPr>
      <w:bookmarkStart w:id="0" w:name="_GoBack"/>
      <w:bookmarkEnd w:id="0"/>
      <w:r w:rsidRPr="00813332">
        <w:rPr>
          <w:color w:val="000000" w:themeColor="text1"/>
          <w:sz w:val="40"/>
          <w:szCs w:val="40"/>
        </w:rPr>
        <w:t xml:space="preserve">Adult </w:t>
      </w:r>
      <w:r w:rsidRPr="007B2678">
        <w:rPr>
          <w:color w:val="000000" w:themeColor="text1"/>
          <w:sz w:val="40"/>
          <w:szCs w:val="40"/>
        </w:rPr>
        <w:t>Learning and Peer Learning Networks</w:t>
      </w:r>
    </w:p>
    <w:p w14:paraId="6DF51A98" w14:textId="5AC0FD3F" w:rsidR="00225FE5" w:rsidRPr="00225FE5" w:rsidRDefault="00225FE5" w:rsidP="00225FE5">
      <w:pPr>
        <w:pStyle w:val="Header"/>
        <w:jc w:val="center"/>
        <w:rPr>
          <w:color w:val="FF0000"/>
          <w:sz w:val="32"/>
          <w:szCs w:val="32"/>
        </w:rPr>
      </w:pPr>
      <w:r>
        <w:rPr>
          <w:color w:val="000000" w:themeColor="text1"/>
          <w:sz w:val="32"/>
          <w:szCs w:val="32"/>
        </w:rPr>
        <w:t xml:space="preserve">Knowledge Check </w:t>
      </w:r>
      <w:r w:rsidRPr="00225FE5">
        <w:rPr>
          <w:color w:val="FF0000"/>
          <w:sz w:val="32"/>
          <w:szCs w:val="32"/>
        </w:rPr>
        <w:t>KEY</w:t>
      </w:r>
    </w:p>
    <w:p w14:paraId="6F0A2843" w14:textId="77777777" w:rsidR="00225FE5" w:rsidRPr="0050706B" w:rsidRDefault="00225FE5" w:rsidP="00225FE5">
      <w:pPr>
        <w:pStyle w:val="Subtitle"/>
        <w:rPr>
          <w:rFonts w:ascii="Palatino" w:hAnsi="Palatino"/>
          <w:color w:val="000000" w:themeColor="text1"/>
          <w:sz w:val="20"/>
          <w:szCs w:val="20"/>
        </w:rPr>
      </w:pPr>
      <w:r w:rsidRPr="0050706B">
        <w:rPr>
          <w:rFonts w:ascii="Palatino" w:hAnsi="Palatino"/>
          <w:b w:val="0"/>
          <w:color w:val="000000" w:themeColor="text1"/>
          <w:sz w:val="20"/>
          <w:szCs w:val="20"/>
        </w:rPr>
        <w:t xml:space="preserve">In the </w:t>
      </w:r>
      <w:r w:rsidRPr="0050706B">
        <w:rPr>
          <w:rFonts w:ascii="Palatino" w:hAnsi="Palatino"/>
          <w:color w:val="000000" w:themeColor="text1"/>
          <w:sz w:val="20"/>
          <w:szCs w:val="20"/>
        </w:rPr>
        <w:t xml:space="preserve">Learning Library - Core Preparation Sessions </w:t>
      </w:r>
    </w:p>
    <w:p w14:paraId="73B773AB" w14:textId="77777777" w:rsidR="00225FE5" w:rsidRPr="00637DBC" w:rsidRDefault="00225FE5" w:rsidP="00225FE5">
      <w:pPr>
        <w:pStyle w:val="Subtitle"/>
        <w:rPr>
          <w:rFonts w:ascii="Palatino" w:hAnsi="Palatino"/>
          <w:color w:val="000000" w:themeColor="text1"/>
          <w:sz w:val="20"/>
          <w:szCs w:val="20"/>
        </w:rPr>
      </w:pPr>
      <w:r w:rsidRPr="0050706B">
        <w:rPr>
          <w:rFonts w:ascii="Palatino" w:hAnsi="Palatino"/>
          <w:b w:val="0"/>
          <w:color w:val="000000" w:themeColor="text1"/>
          <w:sz w:val="20"/>
          <w:szCs w:val="20"/>
        </w:rPr>
        <w:t>this is Section 1 in Module 0: Introduction</w:t>
      </w:r>
    </w:p>
    <w:p w14:paraId="6415AC86" w14:textId="77777777" w:rsidR="008B25AC" w:rsidRDefault="008B25AC" w:rsidP="0052223F">
      <w:pPr>
        <w:rPr>
          <w:i/>
          <w:szCs w:val="24"/>
        </w:rPr>
      </w:pPr>
    </w:p>
    <w:p w14:paraId="69F88EF4" w14:textId="77777777" w:rsidR="00813332" w:rsidRPr="009F35F3" w:rsidRDefault="00813332" w:rsidP="00225FE5">
      <w:pPr>
        <w:spacing w:after="240"/>
        <w:contextualSpacing/>
        <w:rPr>
          <w:sz w:val="22"/>
          <w:szCs w:val="24"/>
        </w:rPr>
      </w:pPr>
      <w:r w:rsidRPr="009F35F3">
        <w:rPr>
          <w:sz w:val="22"/>
          <w:szCs w:val="24"/>
        </w:rPr>
        <w:t>1.</w:t>
      </w:r>
      <w:r w:rsidRPr="009F35F3">
        <w:rPr>
          <w:rFonts w:eastAsia="Cambria"/>
          <w:sz w:val="22"/>
          <w:szCs w:val="24"/>
        </w:rPr>
        <w:t xml:space="preserve"> </w:t>
      </w:r>
      <w:r w:rsidRPr="009F35F3">
        <w:rPr>
          <w:sz w:val="22"/>
          <w:szCs w:val="24"/>
        </w:rPr>
        <w:t>List one or more general characteristics about adult learners.</w:t>
      </w:r>
    </w:p>
    <w:p w14:paraId="7B83E10E" w14:textId="5E50ABC6" w:rsidR="00813332" w:rsidRPr="009F35F3" w:rsidRDefault="00813332" w:rsidP="00225FE5">
      <w:pPr>
        <w:contextualSpacing/>
        <w:rPr>
          <w:sz w:val="22"/>
          <w:szCs w:val="24"/>
        </w:rPr>
      </w:pPr>
      <w:r w:rsidRPr="009F35F3">
        <w:rPr>
          <w:color w:val="FF0000"/>
          <w:sz w:val="22"/>
        </w:rPr>
        <w:t>In general adult learners: approach learning opportunities with goals shaped by their lived experience. Are motivated to find concrete solutions to real-world problems. Like to understand WHY they are learning something. Are task-oriented and like education with a practical end result. May expect that they are also leaders and learners, respected for sharing their lived experience. May come with unconscious biases and they don’t know what they don’t know – various expressions of this show up in the workshop setting. (</w:t>
      </w:r>
      <w:r w:rsidR="00225FE5" w:rsidRPr="009F35F3">
        <w:rPr>
          <w:color w:val="FF0000"/>
          <w:sz w:val="22"/>
        </w:rPr>
        <w:t xml:space="preserve">From </w:t>
      </w:r>
      <w:r w:rsidR="00225FE5" w:rsidRPr="009F35F3">
        <w:rPr>
          <w:iCs/>
          <w:color w:val="FF0000"/>
          <w:sz w:val="22"/>
        </w:rPr>
        <w:t>Lecture Basic Principles of Adult Learning</w:t>
      </w:r>
      <w:r w:rsidRPr="009F35F3">
        <w:rPr>
          <w:color w:val="FF0000"/>
          <w:sz w:val="22"/>
        </w:rPr>
        <w:t xml:space="preserve">) </w:t>
      </w:r>
    </w:p>
    <w:p w14:paraId="0D5DD5FE" w14:textId="4E844F49" w:rsidR="00813332" w:rsidRPr="009F35F3" w:rsidRDefault="00813332" w:rsidP="00225FE5">
      <w:pPr>
        <w:contextualSpacing/>
        <w:rPr>
          <w:sz w:val="22"/>
          <w:szCs w:val="24"/>
        </w:rPr>
      </w:pPr>
    </w:p>
    <w:p w14:paraId="63E72725" w14:textId="77777777" w:rsidR="00813332" w:rsidRPr="009F35F3" w:rsidRDefault="00813332" w:rsidP="00225FE5">
      <w:pPr>
        <w:spacing w:after="240"/>
        <w:contextualSpacing/>
        <w:rPr>
          <w:sz w:val="22"/>
        </w:rPr>
      </w:pPr>
      <w:r w:rsidRPr="009F35F3">
        <w:rPr>
          <w:sz w:val="22"/>
        </w:rPr>
        <w:t>2. Name a classroom tactic that encourages participation. Explain how you might integrate this tactic or another active learning technique into your own work as a peer educator.</w:t>
      </w:r>
    </w:p>
    <w:p w14:paraId="1356DAB2" w14:textId="77777777" w:rsidR="00225FE5" w:rsidRPr="009F35F3" w:rsidRDefault="00813332" w:rsidP="00225FE5">
      <w:pPr>
        <w:contextualSpacing/>
        <w:rPr>
          <w:sz w:val="22"/>
          <w:szCs w:val="24"/>
        </w:rPr>
      </w:pPr>
      <w:r w:rsidRPr="009F35F3">
        <w:rPr>
          <w:color w:val="FF0000"/>
          <w:sz w:val="22"/>
        </w:rPr>
        <w:t xml:space="preserve">Responses may vary: small group discussions, panel discussions, various forms of dialogue, role playing and brainstorming. </w:t>
      </w:r>
      <w:r w:rsidR="00225FE5" w:rsidRPr="009F35F3">
        <w:rPr>
          <w:color w:val="FF0000"/>
          <w:sz w:val="22"/>
        </w:rPr>
        <w:t xml:space="preserve">(From </w:t>
      </w:r>
      <w:r w:rsidR="00225FE5" w:rsidRPr="009F35F3">
        <w:rPr>
          <w:iCs/>
          <w:color w:val="FF0000"/>
          <w:sz w:val="22"/>
        </w:rPr>
        <w:t>Lecture Basic Principles of Adult Learning</w:t>
      </w:r>
      <w:r w:rsidR="00225FE5" w:rsidRPr="009F35F3">
        <w:rPr>
          <w:color w:val="FF0000"/>
          <w:sz w:val="22"/>
        </w:rPr>
        <w:t xml:space="preserve">) </w:t>
      </w:r>
    </w:p>
    <w:p w14:paraId="1D8FF461" w14:textId="69246FD5" w:rsidR="00380BAD" w:rsidRPr="009F35F3" w:rsidRDefault="00380BAD" w:rsidP="00225FE5">
      <w:pPr>
        <w:spacing w:after="200"/>
        <w:contextualSpacing/>
        <w:rPr>
          <w:sz w:val="22"/>
        </w:rPr>
      </w:pPr>
    </w:p>
    <w:p w14:paraId="3BDAC62B" w14:textId="75146296" w:rsidR="00225FE5" w:rsidRPr="009F35F3" w:rsidRDefault="00225FE5" w:rsidP="00225FE5">
      <w:pPr>
        <w:spacing w:after="200"/>
        <w:contextualSpacing/>
        <w:rPr>
          <w:sz w:val="22"/>
        </w:rPr>
      </w:pPr>
      <w:r w:rsidRPr="009F35F3">
        <w:rPr>
          <w:sz w:val="22"/>
        </w:rPr>
        <w:t xml:space="preserve">3. For the following statements mark each as either </w:t>
      </w:r>
      <w:r w:rsidRPr="009F35F3">
        <w:rPr>
          <w:sz w:val="22"/>
        </w:rPr>
        <w:sym w:font="Wingdings" w:char="F0FE"/>
      </w:r>
      <w:r w:rsidRPr="009F35F3">
        <w:rPr>
          <w:sz w:val="22"/>
        </w:rPr>
        <w:t xml:space="preserve"> TRUE or </w:t>
      </w:r>
      <w:r w:rsidRPr="009F35F3">
        <w:rPr>
          <w:sz w:val="22"/>
        </w:rPr>
        <w:sym w:font="Wingdings" w:char="F0FD"/>
      </w:r>
      <w:r w:rsidRPr="009F35F3">
        <w:rPr>
          <w:sz w:val="22"/>
        </w:rPr>
        <w:t xml:space="preserve"> FALSE.</w:t>
      </w:r>
    </w:p>
    <w:p w14:paraId="0054ED18" w14:textId="71ADFD69" w:rsidR="00225FE5" w:rsidRPr="009F35F3" w:rsidRDefault="00225FE5" w:rsidP="00225FE5">
      <w:pPr>
        <w:pStyle w:val="ListParagraph"/>
        <w:numPr>
          <w:ilvl w:val="0"/>
          <w:numId w:val="5"/>
        </w:numPr>
        <w:spacing w:after="200"/>
        <w:rPr>
          <w:sz w:val="22"/>
        </w:rPr>
      </w:pPr>
      <w:r w:rsidRPr="009F35F3">
        <w:rPr>
          <w:sz w:val="22"/>
        </w:rPr>
        <w:t xml:space="preserve">Most individuals do not make decisions about undertaking a behavior change </w:t>
      </w:r>
      <w:proofErr w:type="gramStart"/>
      <w:r w:rsidRPr="009F35F3">
        <w:rPr>
          <w:sz w:val="22"/>
        </w:rPr>
        <w:t>on the basis of</w:t>
      </w:r>
      <w:proofErr w:type="gramEnd"/>
      <w:r w:rsidRPr="009F35F3">
        <w:rPr>
          <w:sz w:val="22"/>
        </w:rPr>
        <w:t xml:space="preserve"> scientific studies or the consequences of doing it.</w:t>
      </w:r>
    </w:p>
    <w:p w14:paraId="607F6420" w14:textId="783F0762" w:rsidR="00813332" w:rsidRPr="009F35F3" w:rsidRDefault="00225FE5" w:rsidP="00225FE5">
      <w:pPr>
        <w:pStyle w:val="ListParagraph"/>
        <w:numPr>
          <w:ilvl w:val="0"/>
          <w:numId w:val="5"/>
        </w:numPr>
        <w:spacing w:after="200"/>
        <w:rPr>
          <w:sz w:val="22"/>
        </w:rPr>
      </w:pPr>
      <w:r w:rsidRPr="009F35F3">
        <w:rPr>
          <w:sz w:val="22"/>
        </w:rPr>
        <w:t xml:space="preserve">Most people depend mainly upon subjective evaluations of ideas that are new to them; they rely on other individuals like themselves who have previously adopted the idea or behavior. </w:t>
      </w:r>
    </w:p>
    <w:p w14:paraId="0AE26F56" w14:textId="77777777" w:rsidR="00225FE5" w:rsidRPr="009F35F3" w:rsidRDefault="00225FE5" w:rsidP="00225FE5">
      <w:pPr>
        <w:pStyle w:val="ListParagraph"/>
        <w:numPr>
          <w:ilvl w:val="0"/>
          <w:numId w:val="5"/>
        </w:numPr>
        <w:spacing w:after="200"/>
        <w:rPr>
          <w:color w:val="000000" w:themeColor="text1"/>
          <w:sz w:val="22"/>
        </w:rPr>
      </w:pPr>
      <w:r w:rsidRPr="009F35F3">
        <w:rPr>
          <w:color w:val="000000" w:themeColor="text1"/>
          <w:sz w:val="22"/>
        </w:rPr>
        <w:t>The ability to make informed decisions will be based not on evaluation of what is true but on evaluation of whom to trust.</w:t>
      </w:r>
    </w:p>
    <w:p w14:paraId="1230F9D7" w14:textId="022BF552" w:rsidR="00813332" w:rsidRPr="009F35F3" w:rsidRDefault="00225FE5" w:rsidP="00225FE5">
      <w:pPr>
        <w:spacing w:after="200"/>
        <w:contextualSpacing/>
        <w:rPr>
          <w:sz w:val="22"/>
        </w:rPr>
      </w:pPr>
      <w:r w:rsidRPr="009F35F3">
        <w:rPr>
          <w:color w:val="FF0000"/>
          <w:sz w:val="22"/>
        </w:rPr>
        <w:t>All</w:t>
      </w:r>
      <w:r w:rsidR="00813332" w:rsidRPr="009F35F3">
        <w:rPr>
          <w:color w:val="FF0000"/>
          <w:sz w:val="22"/>
        </w:rPr>
        <w:t xml:space="preserve"> </w:t>
      </w:r>
      <w:r w:rsidRPr="009F35F3">
        <w:rPr>
          <w:color w:val="FF0000"/>
          <w:sz w:val="22"/>
        </w:rPr>
        <w:t xml:space="preserve">are TRUE. (From </w:t>
      </w:r>
      <w:r w:rsidRPr="009F35F3">
        <w:rPr>
          <w:iCs/>
          <w:color w:val="FF0000"/>
          <w:sz w:val="22"/>
        </w:rPr>
        <w:t>Lecture Peer Learning Networks</w:t>
      </w:r>
      <w:r w:rsidRPr="009F35F3">
        <w:rPr>
          <w:color w:val="FF0000"/>
          <w:sz w:val="22"/>
        </w:rPr>
        <w:t>)</w:t>
      </w:r>
    </w:p>
    <w:p w14:paraId="7E5302F5" w14:textId="77777777" w:rsidR="00225FE5" w:rsidRPr="009F35F3" w:rsidRDefault="00225FE5" w:rsidP="00225FE5">
      <w:pPr>
        <w:spacing w:after="200"/>
        <w:contextualSpacing/>
        <w:rPr>
          <w:sz w:val="22"/>
        </w:rPr>
      </w:pPr>
    </w:p>
    <w:p w14:paraId="7BED7B41" w14:textId="755717B3" w:rsidR="00813332" w:rsidRPr="009F35F3" w:rsidRDefault="00813332" w:rsidP="00225FE5">
      <w:pPr>
        <w:spacing w:after="200"/>
        <w:contextualSpacing/>
        <w:rPr>
          <w:sz w:val="22"/>
        </w:rPr>
      </w:pPr>
      <w:r w:rsidRPr="009F35F3">
        <w:rPr>
          <w:sz w:val="22"/>
        </w:rPr>
        <w:t xml:space="preserve">4. </w:t>
      </w:r>
      <w:r w:rsidR="00225FE5" w:rsidRPr="009F35F3">
        <w:rPr>
          <w:sz w:val="22"/>
        </w:rPr>
        <w:t>When should you use the CRAAP Test</w:t>
      </w:r>
      <w:r w:rsidRPr="009F35F3">
        <w:rPr>
          <w:sz w:val="22"/>
        </w:rPr>
        <w:t xml:space="preserve">? </w:t>
      </w:r>
    </w:p>
    <w:p w14:paraId="5EA45734" w14:textId="7B6E2220" w:rsidR="00225FE5" w:rsidRPr="009F35F3" w:rsidRDefault="00225FE5" w:rsidP="00225FE5">
      <w:pPr>
        <w:spacing w:after="200"/>
        <w:contextualSpacing/>
        <w:rPr>
          <w:color w:val="FF0000"/>
          <w:sz w:val="22"/>
        </w:rPr>
      </w:pPr>
      <w:r w:rsidRPr="009F35F3">
        <w:rPr>
          <w:color w:val="FF0000"/>
          <w:sz w:val="22"/>
        </w:rPr>
        <w:t>When you encounter any kind of source</w:t>
      </w:r>
      <w:r w:rsidR="00813332" w:rsidRPr="009F35F3">
        <w:rPr>
          <w:color w:val="FF0000"/>
          <w:sz w:val="22"/>
        </w:rPr>
        <w:t xml:space="preserve">. </w:t>
      </w:r>
      <w:r w:rsidRPr="009F35F3">
        <w:rPr>
          <w:color w:val="FF0000"/>
          <w:sz w:val="22"/>
        </w:rPr>
        <w:t xml:space="preserve">It is a frame for evaluating: </w:t>
      </w:r>
    </w:p>
    <w:p w14:paraId="04FFBF42" w14:textId="604F8670" w:rsidR="00225FE5" w:rsidRPr="009F35F3" w:rsidRDefault="00225FE5" w:rsidP="00225FE5">
      <w:pPr>
        <w:spacing w:after="200"/>
        <w:ind w:left="720"/>
        <w:contextualSpacing/>
        <w:rPr>
          <w:color w:val="FF0000"/>
          <w:sz w:val="22"/>
        </w:rPr>
      </w:pPr>
      <w:r w:rsidRPr="009F35F3">
        <w:rPr>
          <w:b/>
          <w:bCs/>
          <w:color w:val="FF0000"/>
          <w:sz w:val="22"/>
        </w:rPr>
        <w:t>Currency</w:t>
      </w:r>
      <w:r w:rsidRPr="009F35F3">
        <w:rPr>
          <w:color w:val="FF0000"/>
          <w:sz w:val="22"/>
        </w:rPr>
        <w:t xml:space="preserve"> - The timeliness of the information.</w:t>
      </w:r>
    </w:p>
    <w:p w14:paraId="090057AA" w14:textId="2EEFEDE1" w:rsidR="00225FE5" w:rsidRPr="009F35F3" w:rsidRDefault="00225FE5" w:rsidP="00225FE5">
      <w:pPr>
        <w:spacing w:after="200"/>
        <w:ind w:left="720"/>
        <w:contextualSpacing/>
        <w:rPr>
          <w:color w:val="FF0000"/>
          <w:sz w:val="22"/>
        </w:rPr>
      </w:pPr>
      <w:r w:rsidRPr="009F35F3">
        <w:rPr>
          <w:b/>
          <w:bCs/>
          <w:color w:val="FF0000"/>
          <w:sz w:val="22"/>
        </w:rPr>
        <w:t>Relevance</w:t>
      </w:r>
      <w:r w:rsidRPr="009F35F3">
        <w:rPr>
          <w:color w:val="FF0000"/>
          <w:sz w:val="22"/>
        </w:rPr>
        <w:t xml:space="preserve"> -The importance of the information for your needs.</w:t>
      </w:r>
    </w:p>
    <w:p w14:paraId="5C0D83E2" w14:textId="5AF0C11F" w:rsidR="00225FE5" w:rsidRPr="009F35F3" w:rsidRDefault="00225FE5" w:rsidP="00225FE5">
      <w:pPr>
        <w:spacing w:after="200"/>
        <w:ind w:left="720"/>
        <w:contextualSpacing/>
        <w:rPr>
          <w:color w:val="FF0000"/>
          <w:sz w:val="22"/>
        </w:rPr>
      </w:pPr>
      <w:r w:rsidRPr="009F35F3">
        <w:rPr>
          <w:b/>
          <w:bCs/>
          <w:color w:val="FF0000"/>
          <w:sz w:val="22"/>
        </w:rPr>
        <w:t xml:space="preserve">Authority </w:t>
      </w:r>
      <w:r w:rsidRPr="009F35F3">
        <w:rPr>
          <w:color w:val="FF0000"/>
          <w:sz w:val="22"/>
        </w:rPr>
        <w:t>- The source of the information.</w:t>
      </w:r>
    </w:p>
    <w:p w14:paraId="6966B10C" w14:textId="0477D387" w:rsidR="00225FE5" w:rsidRPr="009F35F3" w:rsidRDefault="00225FE5" w:rsidP="00225FE5">
      <w:pPr>
        <w:spacing w:after="200"/>
        <w:ind w:left="720"/>
        <w:contextualSpacing/>
        <w:rPr>
          <w:color w:val="FF0000"/>
          <w:sz w:val="22"/>
        </w:rPr>
      </w:pPr>
      <w:r w:rsidRPr="009F35F3">
        <w:rPr>
          <w:b/>
          <w:bCs/>
          <w:color w:val="FF0000"/>
          <w:sz w:val="22"/>
        </w:rPr>
        <w:t>Accuracy</w:t>
      </w:r>
      <w:r w:rsidRPr="009F35F3">
        <w:rPr>
          <w:color w:val="FF0000"/>
          <w:sz w:val="22"/>
        </w:rPr>
        <w:t xml:space="preserve"> - The reliability, truthfulness &amp; correctness of the content.</w:t>
      </w:r>
    </w:p>
    <w:p w14:paraId="609E57C2" w14:textId="5F73185E" w:rsidR="00813332" w:rsidRPr="009F35F3" w:rsidRDefault="00225FE5" w:rsidP="00225FE5">
      <w:pPr>
        <w:spacing w:after="200"/>
        <w:ind w:left="720"/>
        <w:contextualSpacing/>
        <w:rPr>
          <w:color w:val="FF0000"/>
          <w:sz w:val="22"/>
        </w:rPr>
      </w:pPr>
      <w:r w:rsidRPr="009F35F3">
        <w:rPr>
          <w:b/>
          <w:bCs/>
          <w:color w:val="FF0000"/>
          <w:sz w:val="22"/>
        </w:rPr>
        <w:t>Purpose</w:t>
      </w:r>
      <w:r w:rsidRPr="009F35F3">
        <w:rPr>
          <w:color w:val="FF0000"/>
          <w:sz w:val="22"/>
        </w:rPr>
        <w:t xml:space="preserve"> - The reason the information exists.</w:t>
      </w:r>
    </w:p>
    <w:p w14:paraId="4D0A0294" w14:textId="2F8F6A35" w:rsidR="00F22892" w:rsidRPr="009F35F3" w:rsidRDefault="00225FE5" w:rsidP="009F35F3">
      <w:pPr>
        <w:tabs>
          <w:tab w:val="left" w:pos="1880"/>
        </w:tabs>
        <w:contextualSpacing/>
        <w:rPr>
          <w:color w:val="FF0000"/>
          <w:sz w:val="22"/>
        </w:rPr>
      </w:pPr>
      <w:r w:rsidRPr="009F35F3">
        <w:rPr>
          <w:color w:val="FF0000"/>
          <w:sz w:val="22"/>
        </w:rPr>
        <w:t xml:space="preserve">(From </w:t>
      </w:r>
      <w:r w:rsidRPr="009F35F3">
        <w:rPr>
          <w:iCs/>
          <w:color w:val="FF0000"/>
          <w:sz w:val="22"/>
        </w:rPr>
        <w:t>Lecture Peer Learning Networks and Fact sheet Evaluating Sources</w:t>
      </w:r>
      <w:r w:rsidRPr="009F35F3">
        <w:rPr>
          <w:color w:val="FF0000"/>
          <w:sz w:val="22"/>
        </w:rPr>
        <w:t>)</w:t>
      </w:r>
    </w:p>
    <w:p w14:paraId="1775F494" w14:textId="58F03F7A" w:rsidR="001377DB" w:rsidRPr="009F35F3" w:rsidRDefault="009F35F3" w:rsidP="009F35F3">
      <w:pPr>
        <w:tabs>
          <w:tab w:val="left" w:pos="1880"/>
        </w:tabs>
        <w:contextualSpacing/>
        <w:jc w:val="right"/>
        <w:rPr>
          <w:color w:val="FF0000"/>
          <w:sz w:val="22"/>
        </w:rPr>
      </w:pPr>
      <w:r w:rsidRPr="009F35F3">
        <w:rPr>
          <w:rFonts w:ascii="Palatino Linotype" w:hAnsi="Palatino Linotype"/>
          <w:noProof/>
          <w:sz w:val="20"/>
          <w:szCs w:val="22"/>
        </w:rPr>
        <w:drawing>
          <wp:anchor distT="0" distB="0" distL="114300" distR="114300" simplePos="0" relativeHeight="251659264" behindDoc="0" locked="0" layoutInCell="1" allowOverlap="1" wp14:anchorId="5ADE96D8" wp14:editId="4B538E84">
            <wp:simplePos x="0" y="0"/>
            <wp:positionH relativeFrom="column">
              <wp:posOffset>-15240</wp:posOffset>
            </wp:positionH>
            <wp:positionV relativeFrom="paragraph">
              <wp:posOffset>147320</wp:posOffset>
            </wp:positionV>
            <wp:extent cx="586740" cy="592455"/>
            <wp:effectExtent l="0" t="0" r="3810"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E832A" w14:textId="73B6C38E" w:rsidR="00F22892" w:rsidRPr="009F35F3" w:rsidRDefault="00DE4CFF" w:rsidP="00F22892">
      <w:pPr>
        <w:rPr>
          <w:sz w:val="20"/>
          <w:szCs w:val="22"/>
        </w:rPr>
      </w:pPr>
      <w:r>
        <w:rPr>
          <w:sz w:val="20"/>
          <w:szCs w:val="22"/>
        </w:rPr>
        <w:t>Published</w:t>
      </w:r>
      <w:r w:rsidR="00F22892" w:rsidRPr="009F35F3">
        <w:rPr>
          <w:sz w:val="20"/>
          <w:szCs w:val="22"/>
        </w:rPr>
        <w:t>:</w:t>
      </w:r>
      <w:r w:rsidR="00103A23" w:rsidRPr="009F35F3">
        <w:rPr>
          <w:sz w:val="20"/>
          <w:szCs w:val="22"/>
        </w:rPr>
        <w:t xml:space="preserve"> </w:t>
      </w:r>
      <w:r>
        <w:rPr>
          <w:sz w:val="20"/>
          <w:szCs w:val="22"/>
        </w:rPr>
        <w:t>April 2019</w:t>
      </w:r>
    </w:p>
    <w:p w14:paraId="0FBA9BA8" w14:textId="18EF0216" w:rsidR="00F22892" w:rsidRPr="009F35F3" w:rsidRDefault="00F22892" w:rsidP="00F22892">
      <w:pPr>
        <w:rPr>
          <w:sz w:val="20"/>
          <w:szCs w:val="22"/>
        </w:rPr>
      </w:pPr>
      <w:r w:rsidRPr="009F35F3">
        <w:rPr>
          <w:sz w:val="20"/>
          <w:szCs w:val="22"/>
        </w:rPr>
        <w:t>Author</w:t>
      </w:r>
      <w:r w:rsidR="00103A23" w:rsidRPr="009F35F3">
        <w:rPr>
          <w:sz w:val="20"/>
          <w:szCs w:val="22"/>
        </w:rPr>
        <w:t>: Fiona Doherty</w:t>
      </w:r>
    </w:p>
    <w:p w14:paraId="011F4ADE" w14:textId="7639E8A1" w:rsidR="00406050" w:rsidRPr="009F35F3" w:rsidRDefault="00F22892" w:rsidP="00AA60A7">
      <w:pPr>
        <w:rPr>
          <w:sz w:val="20"/>
          <w:szCs w:val="22"/>
        </w:rPr>
      </w:pPr>
      <w:r w:rsidRPr="009F35F3">
        <w:rPr>
          <w:sz w:val="20"/>
          <w:szCs w:val="22"/>
        </w:rPr>
        <w:t>Reviewer(s):</w:t>
      </w:r>
      <w:r w:rsidR="00103A23" w:rsidRPr="009F35F3">
        <w:rPr>
          <w:sz w:val="20"/>
          <w:szCs w:val="22"/>
        </w:rPr>
        <w:t xml:space="preserve"> Marcia Eames-Sheavly, Michelle Podolec, Lori Brewer</w:t>
      </w:r>
      <w:r w:rsidR="00BB0A3C" w:rsidRPr="009F35F3">
        <w:rPr>
          <w:sz w:val="20"/>
          <w:szCs w:val="22"/>
        </w:rPr>
        <w:t>, Donna Alese Cooke</w:t>
      </w:r>
    </w:p>
    <w:sectPr w:rsidR="00406050" w:rsidRPr="009F35F3"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FE87B" w14:textId="77777777" w:rsidR="00A61899" w:rsidRDefault="00A61899">
      <w:r>
        <w:separator/>
      </w:r>
    </w:p>
  </w:endnote>
  <w:endnote w:type="continuationSeparator" w:id="0">
    <w:p w14:paraId="35F59FFF" w14:textId="77777777" w:rsidR="00A61899" w:rsidRDefault="00A6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6354689"/>
      <w:docPartObj>
        <w:docPartGallery w:val="Page Numbers (Bottom of Page)"/>
        <w:docPartUnique/>
      </w:docPartObj>
    </w:sdtPr>
    <w:sdtEndPr>
      <w:rPr>
        <w:rStyle w:val="PageNumber"/>
      </w:rPr>
    </w:sdtEndPr>
    <w:sdtContent>
      <w:p w14:paraId="17932873" w14:textId="65660B94"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F22892" w:rsidRDefault="00F22892"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4286000"/>
      <w:docPartObj>
        <w:docPartGallery w:val="Page Numbers (Bottom of Page)"/>
        <w:docPartUnique/>
      </w:docPartObj>
    </w:sdtPr>
    <w:sdtEndPr>
      <w:rPr>
        <w:rStyle w:val="PageNumber"/>
      </w:rPr>
    </w:sdtEndPr>
    <w:sdtContent>
      <w:p w14:paraId="4683FC0C" w14:textId="47E81C42" w:rsidR="00F22892" w:rsidRDefault="00F22892" w:rsidP="00C564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D47B1D" w14:textId="77777777" w:rsidR="00F22892" w:rsidRDefault="00F22892"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FAAF" w14:textId="77777777" w:rsidR="00A61899" w:rsidRDefault="00A61899">
      <w:r>
        <w:separator/>
      </w:r>
    </w:p>
  </w:footnote>
  <w:footnote w:type="continuationSeparator" w:id="0">
    <w:p w14:paraId="0043CF75" w14:textId="77777777" w:rsidR="00A61899" w:rsidRDefault="00A61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C49"/>
    <w:multiLevelType w:val="hybridMultilevel"/>
    <w:tmpl w:val="395AB2AE"/>
    <w:lvl w:ilvl="0" w:tplc="777C3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02E4C"/>
    <w:multiLevelType w:val="hybridMultilevel"/>
    <w:tmpl w:val="8C86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F4939"/>
    <w:multiLevelType w:val="hybridMultilevel"/>
    <w:tmpl w:val="A6F6A7DC"/>
    <w:lvl w:ilvl="0" w:tplc="A02424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51B8"/>
    <w:multiLevelType w:val="hybridMultilevel"/>
    <w:tmpl w:val="A8A8C382"/>
    <w:lvl w:ilvl="0" w:tplc="57AA9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AD0"/>
    <w:multiLevelType w:val="hybridMultilevel"/>
    <w:tmpl w:val="1C684CD0"/>
    <w:lvl w:ilvl="0" w:tplc="4234368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A19FA"/>
    <w:rsid w:val="000A699A"/>
    <w:rsid w:val="000A7806"/>
    <w:rsid w:val="000B2A1E"/>
    <w:rsid w:val="000B2FED"/>
    <w:rsid w:val="000F3A79"/>
    <w:rsid w:val="00103A23"/>
    <w:rsid w:val="00123230"/>
    <w:rsid w:val="0013146A"/>
    <w:rsid w:val="001377DB"/>
    <w:rsid w:val="001528BB"/>
    <w:rsid w:val="0019558F"/>
    <w:rsid w:val="001A08F5"/>
    <w:rsid w:val="001A0FA4"/>
    <w:rsid w:val="001A6F95"/>
    <w:rsid w:val="0020033C"/>
    <w:rsid w:val="00225FE5"/>
    <w:rsid w:val="0027140C"/>
    <w:rsid w:val="002B3120"/>
    <w:rsid w:val="002C2641"/>
    <w:rsid w:val="002F14A0"/>
    <w:rsid w:val="0032282F"/>
    <w:rsid w:val="0033602D"/>
    <w:rsid w:val="003478C1"/>
    <w:rsid w:val="00350F95"/>
    <w:rsid w:val="00366B7F"/>
    <w:rsid w:val="00380BAD"/>
    <w:rsid w:val="003962FF"/>
    <w:rsid w:val="003A1E88"/>
    <w:rsid w:val="003B7A29"/>
    <w:rsid w:val="003F5BF2"/>
    <w:rsid w:val="00406050"/>
    <w:rsid w:val="00406C55"/>
    <w:rsid w:val="00434556"/>
    <w:rsid w:val="00473B00"/>
    <w:rsid w:val="004A40F9"/>
    <w:rsid w:val="004A4274"/>
    <w:rsid w:val="004B1DF2"/>
    <w:rsid w:val="004B663D"/>
    <w:rsid w:val="00501EA6"/>
    <w:rsid w:val="0052223F"/>
    <w:rsid w:val="00567F83"/>
    <w:rsid w:val="00584315"/>
    <w:rsid w:val="00601AF3"/>
    <w:rsid w:val="00627D25"/>
    <w:rsid w:val="00645724"/>
    <w:rsid w:val="00647AF4"/>
    <w:rsid w:val="00651AD0"/>
    <w:rsid w:val="0066378A"/>
    <w:rsid w:val="0066438A"/>
    <w:rsid w:val="0066470A"/>
    <w:rsid w:val="00670F8C"/>
    <w:rsid w:val="0067557E"/>
    <w:rsid w:val="0069040E"/>
    <w:rsid w:val="006C11BC"/>
    <w:rsid w:val="006C3017"/>
    <w:rsid w:val="006C3F43"/>
    <w:rsid w:val="006C4F60"/>
    <w:rsid w:val="006E5839"/>
    <w:rsid w:val="00701181"/>
    <w:rsid w:val="00704693"/>
    <w:rsid w:val="00813332"/>
    <w:rsid w:val="00850113"/>
    <w:rsid w:val="0089343F"/>
    <w:rsid w:val="008A2C97"/>
    <w:rsid w:val="008A48BE"/>
    <w:rsid w:val="008B25AC"/>
    <w:rsid w:val="008C0E4F"/>
    <w:rsid w:val="00902513"/>
    <w:rsid w:val="00912BDE"/>
    <w:rsid w:val="009B0716"/>
    <w:rsid w:val="009D30F6"/>
    <w:rsid w:val="009F0C62"/>
    <w:rsid w:val="009F35F3"/>
    <w:rsid w:val="009F533E"/>
    <w:rsid w:val="00A05DB8"/>
    <w:rsid w:val="00A56B0E"/>
    <w:rsid w:val="00A61899"/>
    <w:rsid w:val="00A66D7A"/>
    <w:rsid w:val="00AA60A7"/>
    <w:rsid w:val="00AA651B"/>
    <w:rsid w:val="00AB0CE5"/>
    <w:rsid w:val="00AB60A8"/>
    <w:rsid w:val="00AD2DB0"/>
    <w:rsid w:val="00B3764C"/>
    <w:rsid w:val="00BB0A3C"/>
    <w:rsid w:val="00BB6A02"/>
    <w:rsid w:val="00BC0644"/>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1F02"/>
    <w:rsid w:val="00D12C7D"/>
    <w:rsid w:val="00D30837"/>
    <w:rsid w:val="00D42A4C"/>
    <w:rsid w:val="00D5114F"/>
    <w:rsid w:val="00D70315"/>
    <w:rsid w:val="00D9080B"/>
    <w:rsid w:val="00DB54B8"/>
    <w:rsid w:val="00DC2DE5"/>
    <w:rsid w:val="00DC791E"/>
    <w:rsid w:val="00DE4CFF"/>
    <w:rsid w:val="00E710A9"/>
    <w:rsid w:val="00E75D49"/>
    <w:rsid w:val="00E81FB0"/>
    <w:rsid w:val="00EC2814"/>
    <w:rsid w:val="00EE21B6"/>
    <w:rsid w:val="00F07025"/>
    <w:rsid w:val="00F22892"/>
    <w:rsid w:val="00F73898"/>
    <w:rsid w:val="00F82C7D"/>
    <w:rsid w:val="00F8617F"/>
    <w:rsid w:val="00FB4382"/>
    <w:rsid w:val="00FC3158"/>
    <w:rsid w:val="00FC64B1"/>
    <w:rsid w:val="00FD2E7B"/>
    <w:rsid w:val="00FE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 w:type="paragraph" w:styleId="NormalWeb">
    <w:name w:val="Normal (Web)"/>
    <w:basedOn w:val="Normal"/>
    <w:semiHidden/>
    <w:unhideWhenUsed/>
    <w:rsid w:val="00225FE5"/>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 w:id="164693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23</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Learning and Peer Learning Networks</dc:title>
  <dc:subject/>
  <dc:creator/>
  <cp:keywords>Cornell Garden-Based Learning, Peer Learning, Education</cp:keywords>
  <cp:lastModifiedBy>Michelle Podolec</cp:lastModifiedBy>
  <cp:revision>12</cp:revision>
  <cp:lastPrinted>2009-07-08T14:45:00Z</cp:lastPrinted>
  <dcterms:created xsi:type="dcterms:W3CDTF">2019-02-13T19:29:00Z</dcterms:created>
  <dcterms:modified xsi:type="dcterms:W3CDTF">2019-03-29T16:33:00Z</dcterms:modified>
</cp:coreProperties>
</file>